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7" w:rsidRPr="00F72FDB" w:rsidRDefault="009A19E7" w:rsidP="009A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FDB">
        <w:rPr>
          <w:rFonts w:ascii="Times New Roman" w:hAnsi="Times New Roman"/>
          <w:b/>
          <w:sz w:val="24"/>
          <w:szCs w:val="24"/>
          <w:lang w:val="en-US"/>
        </w:rPr>
        <w:t xml:space="preserve">GENERAL COMMITTEE ON </w:t>
      </w:r>
      <w:r w:rsidRPr="00F72FDB">
        <w:rPr>
          <w:rStyle w:val="st"/>
          <w:rFonts w:ascii="Times New Roman" w:hAnsi="Times New Roman"/>
          <w:b/>
          <w:sz w:val="24"/>
          <w:szCs w:val="24"/>
          <w:lang w:val="en-US"/>
        </w:rPr>
        <w:t>SOCIAL DEVELOPMENT, EDUCATION, RESEARCH AND SCIENCE</w:t>
      </w:r>
      <w:r w:rsidRPr="00F72FDB">
        <w:rPr>
          <w:rFonts w:ascii="Times New Roman" w:hAnsi="Times New Roman"/>
          <w:b/>
          <w:bCs/>
          <w:sz w:val="24"/>
          <w:szCs w:val="24"/>
        </w:rPr>
        <w:t xml:space="preserve"> OF THE SOUTHEAST EUROPEAN COOPERATION PROCESS PARLIAMENTARY ASSEMBLY (SEECP PA)</w:t>
      </w:r>
    </w:p>
    <w:p w:rsidR="009A19E7" w:rsidRPr="00F72FDB" w:rsidRDefault="009A19E7" w:rsidP="009A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9E7" w:rsidRPr="00F72FDB" w:rsidRDefault="009A19E7" w:rsidP="009A19E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>2</w:t>
      </w:r>
      <w:r w:rsidR="002D6006" w:rsidRPr="00F72FDB">
        <w:rPr>
          <w:rFonts w:ascii="Times New Roman" w:hAnsi="Times New Roman"/>
          <w:b/>
          <w:bCs/>
          <w:sz w:val="24"/>
          <w:szCs w:val="24"/>
        </w:rPr>
        <w:t>1</w:t>
      </w:r>
      <w:r w:rsidRPr="00F72FDB">
        <w:rPr>
          <w:rFonts w:ascii="Times New Roman" w:hAnsi="Times New Roman"/>
          <w:b/>
          <w:bCs/>
          <w:sz w:val="24"/>
          <w:szCs w:val="24"/>
        </w:rPr>
        <w:t xml:space="preserve"> APRIL 2017</w:t>
      </w:r>
    </w:p>
    <w:p w:rsidR="009A19E7" w:rsidRPr="00F72FDB" w:rsidRDefault="009A19E7" w:rsidP="009A19E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9E7" w:rsidRPr="00F72FDB" w:rsidRDefault="009A19E7" w:rsidP="009A19E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>İSTANBUL</w:t>
      </w:r>
    </w:p>
    <w:p w:rsidR="00812F29" w:rsidRPr="00F72FDB" w:rsidRDefault="00812F29" w:rsidP="00812F29">
      <w:pPr>
        <w:pStyle w:val="PlainText"/>
        <w:rPr>
          <w:lang w:val="en-GB"/>
        </w:rPr>
      </w:pPr>
    </w:p>
    <w:p w:rsidR="00403786" w:rsidRPr="00F72FDB" w:rsidRDefault="00403786" w:rsidP="00690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sz w:val="24"/>
          <w:szCs w:val="24"/>
          <w:lang w:val="en-US"/>
        </w:rPr>
        <w:t>RESOLUTION</w:t>
      </w:r>
    </w:p>
    <w:p w:rsidR="00403786" w:rsidRPr="00F72FDB" w:rsidRDefault="00403786" w:rsidP="004037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3786" w:rsidRPr="00F72FDB" w:rsidRDefault="00403786" w:rsidP="00F72FD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sz w:val="24"/>
          <w:szCs w:val="24"/>
          <w:lang w:val="en-US"/>
        </w:rPr>
        <w:t>Reaffirming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the principles established in the Charter of good </w:t>
      </w:r>
      <w:r w:rsidR="007638F8" w:rsidRPr="00F72FDB">
        <w:rPr>
          <w:rFonts w:ascii="Times New Roman" w:hAnsi="Times New Roman"/>
          <w:sz w:val="24"/>
          <w:szCs w:val="24"/>
          <w:lang w:val="en-US"/>
        </w:rPr>
        <w:t>neighbo</w:t>
      </w:r>
      <w:r w:rsidR="007638F8">
        <w:rPr>
          <w:rFonts w:ascii="Times New Roman" w:hAnsi="Times New Roman"/>
          <w:sz w:val="24"/>
          <w:szCs w:val="24"/>
          <w:lang w:val="en-US"/>
        </w:rPr>
        <w:t>r</w:t>
      </w:r>
      <w:r w:rsidR="007638F8" w:rsidRPr="00F72FDB">
        <w:rPr>
          <w:rFonts w:ascii="Times New Roman" w:hAnsi="Times New Roman"/>
          <w:sz w:val="24"/>
          <w:szCs w:val="24"/>
          <w:lang w:val="en-US"/>
        </w:rPr>
        <w:t>ly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relations, stability, security and cooperation, signed in Bucharest in 200</w:t>
      </w:r>
      <w:r w:rsidR="00D359BB" w:rsidRPr="00F72FDB">
        <w:rPr>
          <w:rFonts w:ascii="Times New Roman" w:hAnsi="Times New Roman"/>
          <w:sz w:val="24"/>
          <w:szCs w:val="24"/>
          <w:lang w:val="en-US"/>
        </w:rPr>
        <w:t>0</w:t>
      </w:r>
      <w:r w:rsidRPr="00F72FDB">
        <w:rPr>
          <w:rFonts w:ascii="Times New Roman" w:hAnsi="Times New Roman"/>
          <w:sz w:val="24"/>
          <w:szCs w:val="24"/>
          <w:lang w:val="en-US"/>
        </w:rPr>
        <w:t>, as the founding document of SEECP;</w:t>
      </w:r>
    </w:p>
    <w:p w:rsidR="0067788E" w:rsidRPr="00F72FDB" w:rsidRDefault="0067788E" w:rsidP="00F72F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72FD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Pursuant to</w:t>
      </w:r>
      <w:r w:rsidRPr="00F72FD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the Declaration on the Inauguration of the SEECP Parliamentary Assembly adopted on 10 May 2014; </w:t>
      </w:r>
    </w:p>
    <w:p w:rsidR="008E131B" w:rsidRPr="00F72FDB" w:rsidRDefault="008E131B" w:rsidP="00F72F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72FDB">
        <w:rPr>
          <w:rFonts w:ascii="Times New Roman" w:eastAsia="Times New Roman" w:hAnsi="Times New Roman"/>
          <w:b/>
          <w:bCs/>
          <w:sz w:val="24"/>
          <w:szCs w:val="24"/>
        </w:rPr>
        <w:t>Guided by</w:t>
      </w:r>
      <w:r w:rsidRPr="00F72FDB">
        <w:rPr>
          <w:rFonts w:ascii="Times New Roman" w:eastAsia="Times New Roman" w:hAnsi="Times New Roman"/>
          <w:sz w:val="24"/>
          <w:szCs w:val="24"/>
        </w:rPr>
        <w:t>the Rules of Procedure of the SEECP Parliamentary Assembly which establish the functioning of the SEECP Parliamentary Assembly;</w:t>
      </w:r>
    </w:p>
    <w:p w:rsidR="008E131B" w:rsidRPr="00F72FDB" w:rsidRDefault="00403786" w:rsidP="00F72FD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sz w:val="24"/>
          <w:szCs w:val="24"/>
          <w:lang w:val="en-US"/>
        </w:rPr>
        <w:t>In accordance with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the SEECP PA Work Program 201</w:t>
      </w:r>
      <w:r w:rsidR="00200FF9" w:rsidRPr="00F72FDB">
        <w:rPr>
          <w:rFonts w:ascii="Times New Roman" w:hAnsi="Times New Roman"/>
          <w:sz w:val="24"/>
          <w:szCs w:val="24"/>
          <w:lang w:val="en-US"/>
        </w:rPr>
        <w:t>6</w:t>
      </w:r>
      <w:r w:rsidRPr="00F72FDB">
        <w:rPr>
          <w:rFonts w:ascii="Times New Roman" w:hAnsi="Times New Roman"/>
          <w:sz w:val="24"/>
          <w:szCs w:val="24"/>
          <w:lang w:val="en-US"/>
        </w:rPr>
        <w:t>/201</w:t>
      </w:r>
      <w:r w:rsidR="00200FF9" w:rsidRPr="00F72FDB">
        <w:rPr>
          <w:rFonts w:ascii="Times New Roman" w:hAnsi="Times New Roman"/>
          <w:sz w:val="24"/>
          <w:szCs w:val="24"/>
          <w:lang w:val="en-US"/>
        </w:rPr>
        <w:t>7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adopted </w:t>
      </w:r>
      <w:r w:rsidR="00200FF9" w:rsidRPr="00F72FDB">
        <w:rPr>
          <w:rFonts w:ascii="Times New Roman" w:hAnsi="Times New Roman"/>
          <w:sz w:val="24"/>
          <w:szCs w:val="24"/>
          <w:lang w:val="en-US"/>
        </w:rPr>
        <w:t>in June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200FF9" w:rsidRPr="00F72FDB">
        <w:rPr>
          <w:rFonts w:ascii="Times New Roman" w:hAnsi="Times New Roman"/>
          <w:sz w:val="24"/>
          <w:szCs w:val="24"/>
          <w:lang w:val="en-US"/>
        </w:rPr>
        <w:t>6 in Sofia</w:t>
      </w:r>
      <w:r w:rsidRPr="00F72FDB">
        <w:rPr>
          <w:rFonts w:ascii="Times New Roman" w:hAnsi="Times New Roman"/>
          <w:sz w:val="24"/>
          <w:szCs w:val="24"/>
          <w:lang w:val="en-US"/>
        </w:rPr>
        <w:t>;</w:t>
      </w:r>
    </w:p>
    <w:p w:rsidR="008E131B" w:rsidRPr="00F72FDB" w:rsidRDefault="009A19E7" w:rsidP="00F72FD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 xml:space="preserve">Having regard to </w:t>
      </w:r>
      <w:r w:rsidRPr="00F72FDB">
        <w:rPr>
          <w:rFonts w:ascii="Times New Roman" w:hAnsi="Times New Roman"/>
          <w:sz w:val="24"/>
          <w:szCs w:val="24"/>
        </w:rPr>
        <w:t xml:space="preserve">the existing practices in the field of </w:t>
      </w:r>
      <w:r w:rsidR="00226BB8">
        <w:rPr>
          <w:rFonts w:ascii="Times New Roman" w:hAnsi="Times New Roman"/>
          <w:sz w:val="24"/>
          <w:szCs w:val="24"/>
        </w:rPr>
        <w:t xml:space="preserve">higher </w:t>
      </w:r>
      <w:r w:rsidRPr="00F72FDB">
        <w:rPr>
          <w:rFonts w:ascii="Times New Roman" w:hAnsi="Times New Roman"/>
          <w:sz w:val="24"/>
          <w:szCs w:val="24"/>
        </w:rPr>
        <w:t xml:space="preserve">education in the SEECP Participants; </w:t>
      </w:r>
    </w:p>
    <w:p w:rsidR="00CF65D3" w:rsidRPr="00F72FDB" w:rsidRDefault="00CF65D3" w:rsidP="00CF65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>Having in mind</w:t>
      </w:r>
      <w:r w:rsidRPr="00F72FDB">
        <w:rPr>
          <w:rFonts w:ascii="Times New Roman" w:hAnsi="Times New Roman"/>
          <w:sz w:val="24"/>
          <w:szCs w:val="24"/>
        </w:rPr>
        <w:t xml:space="preserve"> that the integration of Southeast Europe as a whole in the European Union represents one of the most important mechanisms for ensuring peace, stability and progress of the region;</w:t>
      </w:r>
    </w:p>
    <w:p w:rsidR="008E131B" w:rsidRPr="00F72FDB" w:rsidRDefault="009A19E7" w:rsidP="0091666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>Reaffirming</w:t>
      </w:r>
      <w:r w:rsidRPr="00F72FDB">
        <w:rPr>
          <w:rFonts w:ascii="Times New Roman" w:hAnsi="Times New Roman"/>
          <w:sz w:val="24"/>
          <w:szCs w:val="24"/>
        </w:rPr>
        <w:t xml:space="preserve"> the importance of the enlargement process and commitment of reforms initiated by the SEECP Participants </w:t>
      </w:r>
      <w:r w:rsidR="00093025">
        <w:rPr>
          <w:rFonts w:ascii="Times New Roman" w:hAnsi="Times New Roman"/>
          <w:sz w:val="24"/>
          <w:szCs w:val="24"/>
        </w:rPr>
        <w:t xml:space="preserve">especially in the field of higher education </w:t>
      </w:r>
      <w:r w:rsidRPr="00F72FDB">
        <w:rPr>
          <w:rFonts w:ascii="Times New Roman" w:hAnsi="Times New Roman"/>
          <w:sz w:val="24"/>
          <w:szCs w:val="24"/>
        </w:rPr>
        <w:t>as part of their efforts invested within the EU integration process;</w:t>
      </w:r>
    </w:p>
    <w:p w:rsidR="008E131B" w:rsidRPr="00F72FDB" w:rsidRDefault="009A19E7" w:rsidP="00F72FD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>Emphasising</w:t>
      </w:r>
      <w:r w:rsidRPr="00F72FDB">
        <w:rPr>
          <w:rFonts w:ascii="Times New Roman" w:hAnsi="Times New Roman"/>
          <w:sz w:val="24"/>
          <w:szCs w:val="24"/>
        </w:rPr>
        <w:t xml:space="preserve"> the relevance and importance of efficient mechanisms for the continuation of parliamentary cooperation, particularly in the field of higher education; </w:t>
      </w:r>
    </w:p>
    <w:p w:rsidR="009A19E7" w:rsidRPr="00F72FDB" w:rsidRDefault="009A19E7" w:rsidP="00F72FD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>Recognising</w:t>
      </w:r>
      <w:r w:rsidRPr="00F72FDB">
        <w:rPr>
          <w:rFonts w:ascii="Times New Roman" w:hAnsi="Times New Roman"/>
          <w:sz w:val="24"/>
          <w:szCs w:val="24"/>
        </w:rPr>
        <w:t xml:space="preserve"> the need for reinforcing cooperation </w:t>
      </w:r>
      <w:r w:rsidR="005E60EA" w:rsidRPr="00F72FDB">
        <w:rPr>
          <w:rFonts w:ascii="Times New Roman" w:hAnsi="Times New Roman"/>
          <w:sz w:val="24"/>
          <w:szCs w:val="24"/>
        </w:rPr>
        <w:t>among</w:t>
      </w:r>
      <w:r w:rsidRPr="00F72FDB">
        <w:rPr>
          <w:rFonts w:ascii="Times New Roman" w:hAnsi="Times New Roman"/>
          <w:sz w:val="24"/>
          <w:szCs w:val="24"/>
        </w:rPr>
        <w:t xml:space="preserve"> higher education authorities </w:t>
      </w:r>
      <w:r w:rsidR="005E60EA" w:rsidRPr="00F72FDB">
        <w:rPr>
          <w:rFonts w:ascii="Times New Roman" w:hAnsi="Times New Roman"/>
          <w:sz w:val="24"/>
          <w:szCs w:val="24"/>
        </w:rPr>
        <w:t xml:space="preserve">in the SEECP </w:t>
      </w:r>
      <w:r w:rsidR="00226BB8">
        <w:rPr>
          <w:rFonts w:ascii="Times New Roman" w:hAnsi="Times New Roman"/>
          <w:sz w:val="24"/>
          <w:szCs w:val="24"/>
        </w:rPr>
        <w:t>P</w:t>
      </w:r>
      <w:r w:rsidR="005E60EA" w:rsidRPr="00F72FDB">
        <w:rPr>
          <w:rFonts w:ascii="Times New Roman" w:hAnsi="Times New Roman"/>
          <w:sz w:val="24"/>
          <w:szCs w:val="24"/>
        </w:rPr>
        <w:t xml:space="preserve">articipants </w:t>
      </w:r>
      <w:r w:rsidRPr="00F72FDB">
        <w:rPr>
          <w:rFonts w:ascii="Times New Roman" w:hAnsi="Times New Roman"/>
          <w:sz w:val="24"/>
          <w:szCs w:val="24"/>
        </w:rPr>
        <w:t>aimed at enhancing the regional cooperation in the field of higher education;</w:t>
      </w:r>
    </w:p>
    <w:p w:rsidR="00563AA5" w:rsidRPr="00F72FDB" w:rsidRDefault="00563AA5" w:rsidP="00F72FDB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2FDB">
        <w:rPr>
          <w:rFonts w:ascii="Times New Roman" w:eastAsia="Times New Roman" w:hAnsi="Times New Roman"/>
          <w:b/>
          <w:sz w:val="24"/>
          <w:szCs w:val="24"/>
        </w:rPr>
        <w:t>Recalling</w:t>
      </w:r>
      <w:r w:rsidRPr="00F72FDB">
        <w:rPr>
          <w:rFonts w:ascii="Times New Roman" w:eastAsia="Times New Roman" w:hAnsi="Times New Roman"/>
          <w:sz w:val="24"/>
          <w:szCs w:val="24"/>
        </w:rPr>
        <w:t xml:space="preserve"> the Final Declaration of the Third Plenary Session of the South-East European Cooperation Process Parliamentary Assembly, 10-11 June 2016, Sofia, which </w:t>
      </w:r>
      <w:r w:rsidRPr="00F72FDB">
        <w:rPr>
          <w:rFonts w:ascii="Times New Roman" w:hAnsi="Times New Roman"/>
          <w:sz w:val="24"/>
          <w:szCs w:val="24"/>
        </w:rPr>
        <w:t>reaffirms the importance and the role of parliaments in encouraging the exchange of expertise and experience with SEECP parliaments of non EU Member States;</w:t>
      </w:r>
    </w:p>
    <w:p w:rsidR="00563AA5" w:rsidRPr="00F72FDB" w:rsidRDefault="00563AA5" w:rsidP="00F72FD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>Highlighting</w:t>
      </w:r>
      <w:r w:rsidRPr="00F72FDB">
        <w:rPr>
          <w:rFonts w:ascii="Times New Roman" w:hAnsi="Times New Roman"/>
          <w:sz w:val="24"/>
          <w:szCs w:val="24"/>
        </w:rPr>
        <w:t xml:space="preserve"> that the SEECP PA can play an important role in assisting the parliaments of the SEECP Participants to harmonize their own legislative framework with the EU </w:t>
      </w:r>
      <w:r w:rsidRPr="00F72FDB">
        <w:rPr>
          <w:rFonts w:ascii="Times New Roman" w:hAnsi="Times New Roman"/>
          <w:i/>
          <w:iCs/>
          <w:sz w:val="24"/>
          <w:szCs w:val="24"/>
        </w:rPr>
        <w:t>acquis</w:t>
      </w:r>
      <w:r w:rsidRPr="00F72FDB">
        <w:rPr>
          <w:rFonts w:ascii="Times New Roman" w:hAnsi="Times New Roman"/>
          <w:sz w:val="24"/>
          <w:szCs w:val="24"/>
        </w:rPr>
        <w:t xml:space="preserve"> by developing a comprehensive exchange of best practices, knowledge and experience with the Parliaments of EU Member States;                                                                               </w:t>
      </w:r>
    </w:p>
    <w:p w:rsidR="00B00B7C" w:rsidRPr="00F72FDB" w:rsidRDefault="00B00B7C" w:rsidP="00F72FDB">
      <w:pPr>
        <w:pStyle w:val="NormalWeb"/>
        <w:spacing w:before="0" w:beforeAutospacing="0" w:after="120" w:afterAutospacing="0"/>
        <w:jc w:val="both"/>
        <w:rPr>
          <w:rStyle w:val="Strong"/>
          <w:b w:val="0"/>
          <w:bCs w:val="0"/>
          <w:lang w:val="en-GB"/>
        </w:rPr>
      </w:pPr>
      <w:r w:rsidRPr="00F72FDB">
        <w:rPr>
          <w:rStyle w:val="Strong"/>
          <w:lang w:val="en-GB"/>
        </w:rPr>
        <w:t xml:space="preserve">Noting </w:t>
      </w:r>
      <w:r w:rsidRPr="00F72FDB">
        <w:rPr>
          <w:rStyle w:val="Strong"/>
          <w:b w:val="0"/>
          <w:bCs w:val="0"/>
          <w:lang w:val="en-GB"/>
        </w:rPr>
        <w:t xml:space="preserve">that an increase in the intensity and the institutionalization of parliamentary dialogue is the key to addressing the challenges faced and to establishing a </w:t>
      </w:r>
      <w:r w:rsidR="00CF65D3">
        <w:rPr>
          <w:rStyle w:val="Strong"/>
          <w:b w:val="0"/>
          <w:bCs w:val="0"/>
          <w:lang w:val="en-GB"/>
        </w:rPr>
        <w:t>comprehensive</w:t>
      </w:r>
      <w:r w:rsidR="00153FCC" w:rsidRPr="00F72FDB">
        <w:rPr>
          <w:rStyle w:val="Strong"/>
          <w:b w:val="0"/>
          <w:bCs w:val="0"/>
          <w:lang w:val="en-GB"/>
        </w:rPr>
        <w:t xml:space="preserve">higher education </w:t>
      </w:r>
      <w:r w:rsidRPr="00F72FDB">
        <w:rPr>
          <w:rStyle w:val="Strong"/>
          <w:b w:val="0"/>
          <w:bCs w:val="0"/>
          <w:lang w:val="en-GB"/>
        </w:rPr>
        <w:t>perspective for South</w:t>
      </w:r>
      <w:r w:rsidR="00226BB8">
        <w:rPr>
          <w:rStyle w:val="Strong"/>
          <w:b w:val="0"/>
          <w:bCs w:val="0"/>
          <w:lang w:val="en-GB"/>
        </w:rPr>
        <w:t xml:space="preserve"> E</w:t>
      </w:r>
      <w:r w:rsidRPr="00F72FDB">
        <w:rPr>
          <w:rStyle w:val="Strong"/>
          <w:b w:val="0"/>
          <w:bCs w:val="0"/>
          <w:lang w:val="en-GB"/>
        </w:rPr>
        <w:t>ast Europe;</w:t>
      </w:r>
    </w:p>
    <w:p w:rsidR="00A77832" w:rsidRPr="00F72FDB" w:rsidRDefault="00A77832" w:rsidP="00423AC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72FDB">
        <w:rPr>
          <w:rFonts w:ascii="Times New Roman" w:hAnsi="Times New Roman"/>
          <w:b/>
          <w:sz w:val="24"/>
          <w:szCs w:val="24"/>
        </w:rPr>
        <w:lastRenderedPageBreak/>
        <w:t>Underlining</w:t>
      </w:r>
      <w:r w:rsidRPr="00F72FDB">
        <w:rPr>
          <w:rFonts w:ascii="Times New Roman" w:hAnsi="Times New Roman"/>
          <w:sz w:val="24"/>
          <w:szCs w:val="24"/>
        </w:rPr>
        <w:t xml:space="preserve"> the importance of internationalization of higher education as a means of improving the quality of higher education </w:t>
      </w:r>
      <w:r w:rsidR="00423ACD">
        <w:rPr>
          <w:rFonts w:ascii="Times New Roman" w:hAnsi="Times New Roman"/>
          <w:sz w:val="24"/>
          <w:szCs w:val="24"/>
        </w:rPr>
        <w:t>through</w:t>
      </w:r>
      <w:r w:rsidRPr="00F72FDB">
        <w:rPr>
          <w:rFonts w:ascii="Times New Roman" w:hAnsi="Times New Roman"/>
          <w:sz w:val="24"/>
          <w:szCs w:val="24"/>
        </w:rPr>
        <w:t xml:space="preserve"> the opportunities presented by the information age;</w:t>
      </w:r>
    </w:p>
    <w:p w:rsidR="00783E63" w:rsidRPr="00F72FDB" w:rsidRDefault="00783E63" w:rsidP="00130448">
      <w:pPr>
        <w:pStyle w:val="NormalWeb"/>
        <w:spacing w:before="0" w:beforeAutospacing="0" w:after="120" w:afterAutospacing="0"/>
        <w:jc w:val="both"/>
        <w:rPr>
          <w:rStyle w:val="Strong"/>
          <w:b w:val="0"/>
          <w:bCs w:val="0"/>
          <w:lang w:val="en-GB"/>
        </w:rPr>
      </w:pPr>
      <w:r w:rsidRPr="00F72FDB">
        <w:rPr>
          <w:rStyle w:val="Strong"/>
          <w:bCs w:val="0"/>
          <w:lang w:val="en-GB"/>
        </w:rPr>
        <w:t>Appreciating</w:t>
      </w:r>
      <w:r w:rsidRPr="00F72FDB">
        <w:rPr>
          <w:rStyle w:val="Strong"/>
          <w:b w:val="0"/>
          <w:bCs w:val="0"/>
          <w:lang w:val="en-GB"/>
        </w:rPr>
        <w:t xml:space="preserve"> the high level of participation </w:t>
      </w:r>
      <w:r w:rsidR="00CF65D3">
        <w:rPr>
          <w:rStyle w:val="Strong"/>
          <w:b w:val="0"/>
          <w:bCs w:val="0"/>
          <w:lang w:val="en-GB"/>
        </w:rPr>
        <w:t xml:space="preserve">of </w:t>
      </w:r>
      <w:r w:rsidR="00CF65D3" w:rsidRPr="00F72FDB">
        <w:rPr>
          <w:rStyle w:val="Strong"/>
          <w:b w:val="0"/>
          <w:bCs w:val="0"/>
          <w:lang w:val="en-GB"/>
        </w:rPr>
        <w:t xml:space="preserve">SEECP </w:t>
      </w:r>
      <w:r w:rsidR="00130448">
        <w:rPr>
          <w:rStyle w:val="Strong"/>
          <w:b w:val="0"/>
          <w:bCs w:val="0"/>
          <w:lang w:val="en-GB"/>
        </w:rPr>
        <w:t>P</w:t>
      </w:r>
      <w:r w:rsidR="00CF65D3" w:rsidRPr="00F72FDB">
        <w:rPr>
          <w:rStyle w:val="Strong"/>
          <w:b w:val="0"/>
          <w:bCs w:val="0"/>
          <w:lang w:val="en-GB"/>
        </w:rPr>
        <w:t xml:space="preserve">articipants </w:t>
      </w:r>
      <w:r w:rsidRPr="00F72FDB">
        <w:rPr>
          <w:rStyle w:val="Strong"/>
          <w:b w:val="0"/>
          <w:bCs w:val="0"/>
          <w:lang w:val="en-GB"/>
        </w:rPr>
        <w:t>in existing mechanisms for cooperation in higher education both in bilateral and multilateral levels such as the Bologna Process and the European Higher Education Area;</w:t>
      </w:r>
    </w:p>
    <w:p w:rsidR="00783E63" w:rsidRPr="00F72FDB" w:rsidRDefault="00783E63" w:rsidP="00F72FDB">
      <w:pPr>
        <w:pStyle w:val="NormalWeb"/>
        <w:spacing w:before="0" w:beforeAutospacing="0" w:after="120" w:afterAutospacing="0"/>
        <w:jc w:val="both"/>
        <w:rPr>
          <w:rStyle w:val="Strong"/>
          <w:b w:val="0"/>
          <w:bCs w:val="0"/>
          <w:lang w:val="en-GB"/>
        </w:rPr>
      </w:pPr>
      <w:r w:rsidRPr="00F72FDB">
        <w:rPr>
          <w:rStyle w:val="Strong"/>
          <w:bCs w:val="0"/>
          <w:lang w:val="en-GB"/>
        </w:rPr>
        <w:t>Welcoming</w:t>
      </w:r>
      <w:r w:rsidRPr="00F72FDB">
        <w:rPr>
          <w:rStyle w:val="Strong"/>
          <w:b w:val="0"/>
          <w:bCs w:val="0"/>
          <w:lang w:val="en-GB"/>
        </w:rPr>
        <w:t xml:space="preserve"> the current level of integration achieved in the field of higher education by means of the </w:t>
      </w:r>
      <w:r w:rsidRPr="00F72FDB">
        <w:rPr>
          <w:rStyle w:val="Strong"/>
          <w:b w:val="0"/>
          <w:lang w:val="en-GB"/>
        </w:rPr>
        <w:t>Bologna Process which is an important process of harmonizing various systems of European higher education with an objective to create a European Area of Higher Education and to promote the European system of higher education on a worldwide scale in order to increase its international competitiveness.</w:t>
      </w:r>
    </w:p>
    <w:p w:rsidR="00403786" w:rsidRPr="00F72FDB" w:rsidRDefault="00403786" w:rsidP="00F72FD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72FDB">
        <w:rPr>
          <w:rFonts w:ascii="Times New Roman" w:hAnsi="Times New Roman"/>
          <w:b/>
          <w:bCs/>
          <w:sz w:val="24"/>
          <w:szCs w:val="24"/>
          <w:lang w:val="en-US"/>
        </w:rPr>
        <w:t xml:space="preserve">The </w:t>
      </w:r>
      <w:r w:rsidRPr="00F72FDB">
        <w:rPr>
          <w:rFonts w:ascii="Times New Roman" w:hAnsi="Times New Roman"/>
          <w:b/>
          <w:sz w:val="24"/>
          <w:szCs w:val="24"/>
          <w:lang w:val="en-US"/>
        </w:rPr>
        <w:t xml:space="preserve">General Committee on </w:t>
      </w:r>
      <w:r w:rsidRPr="00F72FDB">
        <w:rPr>
          <w:rStyle w:val="st"/>
          <w:rFonts w:ascii="Times New Roman" w:hAnsi="Times New Roman"/>
          <w:b/>
          <w:sz w:val="24"/>
          <w:szCs w:val="24"/>
          <w:lang w:val="en-US"/>
        </w:rPr>
        <w:t>Social Development, Education, Research and Science, which was convened</w:t>
      </w:r>
      <w:r w:rsidRPr="00F72FDB">
        <w:rPr>
          <w:rFonts w:ascii="Times New Roman" w:hAnsi="Times New Roman"/>
          <w:b/>
          <w:sz w:val="24"/>
          <w:szCs w:val="24"/>
        </w:rPr>
        <w:t xml:space="preserve"> in </w:t>
      </w:r>
      <w:r w:rsidR="002D6006" w:rsidRPr="00F72FDB">
        <w:rPr>
          <w:rFonts w:ascii="Times New Roman" w:hAnsi="Times New Roman"/>
          <w:b/>
          <w:sz w:val="24"/>
          <w:szCs w:val="24"/>
        </w:rPr>
        <w:t>İstanbul</w:t>
      </w:r>
      <w:r w:rsidRPr="00F72FDB">
        <w:rPr>
          <w:rFonts w:ascii="Times New Roman" w:hAnsi="Times New Roman"/>
          <w:b/>
          <w:sz w:val="24"/>
          <w:szCs w:val="24"/>
        </w:rPr>
        <w:t xml:space="preserve">, on </w:t>
      </w:r>
      <w:bookmarkStart w:id="0" w:name="_GoBack"/>
      <w:bookmarkEnd w:id="0"/>
      <w:r w:rsidR="00B45B66" w:rsidRPr="00F72FDB">
        <w:rPr>
          <w:rFonts w:ascii="Times New Roman" w:hAnsi="Times New Roman"/>
          <w:b/>
          <w:sz w:val="24"/>
          <w:szCs w:val="24"/>
        </w:rPr>
        <w:t xml:space="preserve">21 </w:t>
      </w:r>
      <w:r w:rsidRPr="00F72FDB">
        <w:rPr>
          <w:rFonts w:ascii="Times New Roman" w:hAnsi="Times New Roman"/>
          <w:b/>
          <w:sz w:val="24"/>
          <w:szCs w:val="24"/>
        </w:rPr>
        <w:t>April 201</w:t>
      </w:r>
      <w:r w:rsidR="002D6006" w:rsidRPr="00F72FDB">
        <w:rPr>
          <w:rFonts w:ascii="Times New Roman" w:hAnsi="Times New Roman"/>
          <w:b/>
          <w:sz w:val="24"/>
          <w:szCs w:val="24"/>
        </w:rPr>
        <w:t>7</w:t>
      </w:r>
      <w:r w:rsidRPr="00F72FDB">
        <w:rPr>
          <w:rFonts w:ascii="Times New Roman" w:hAnsi="Times New Roman"/>
          <w:b/>
          <w:sz w:val="24"/>
          <w:szCs w:val="24"/>
        </w:rPr>
        <w:t>:</w:t>
      </w:r>
    </w:p>
    <w:p w:rsidR="00B45B66" w:rsidRPr="00F72FDB" w:rsidRDefault="00B45B66" w:rsidP="005D53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Cs/>
          <w:spacing w:val="-8"/>
          <w:sz w:val="24"/>
          <w:szCs w:val="24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>Encourages</w:t>
      </w:r>
      <w:r w:rsidRPr="00F72FDB">
        <w:rPr>
          <w:rFonts w:ascii="Times New Roman" w:hAnsi="Times New Roman"/>
          <w:sz w:val="24"/>
          <w:szCs w:val="24"/>
        </w:rPr>
        <w:t xml:space="preserve"> the enhancement of regional cooperation </w:t>
      </w:r>
      <w:r w:rsidR="00123654" w:rsidRPr="00F72FDB">
        <w:rPr>
          <w:rFonts w:ascii="Times New Roman" w:hAnsi="Times New Roman"/>
          <w:sz w:val="24"/>
          <w:szCs w:val="24"/>
        </w:rPr>
        <w:t>among</w:t>
      </w:r>
      <w:r w:rsidRPr="00F72FDB">
        <w:rPr>
          <w:rFonts w:ascii="Times New Roman" w:hAnsi="Times New Roman"/>
          <w:sz w:val="24"/>
          <w:szCs w:val="24"/>
        </w:rPr>
        <w:t xml:space="preserve"> SEECP </w:t>
      </w:r>
      <w:r w:rsidR="00896BDE">
        <w:rPr>
          <w:rFonts w:ascii="Times New Roman" w:hAnsi="Times New Roman"/>
          <w:sz w:val="24"/>
          <w:szCs w:val="24"/>
        </w:rPr>
        <w:t>P</w:t>
      </w:r>
      <w:r w:rsidR="000438CC">
        <w:rPr>
          <w:rFonts w:ascii="Times New Roman" w:hAnsi="Times New Roman"/>
          <w:sz w:val="24"/>
          <w:szCs w:val="24"/>
        </w:rPr>
        <w:t>articipants in the field of higher educationby</w:t>
      </w:r>
      <w:r w:rsidRPr="00F72FDB">
        <w:rPr>
          <w:rFonts w:ascii="Times New Roman" w:hAnsi="Times New Roman"/>
          <w:sz w:val="24"/>
          <w:szCs w:val="24"/>
        </w:rPr>
        <w:t xml:space="preserve"> exchange of best practices</w:t>
      </w:r>
      <w:r w:rsidR="000438CC">
        <w:rPr>
          <w:rFonts w:ascii="Times New Roman" w:hAnsi="Times New Roman"/>
          <w:sz w:val="24"/>
          <w:szCs w:val="24"/>
        </w:rPr>
        <w:t xml:space="preserve"> and</w:t>
      </w:r>
      <w:r w:rsidR="005D53BB">
        <w:rPr>
          <w:rFonts w:ascii="Times New Roman" w:hAnsi="Times New Roman"/>
          <w:sz w:val="24"/>
          <w:szCs w:val="24"/>
        </w:rPr>
        <w:t xml:space="preserve"> experience in the field</w:t>
      </w:r>
      <w:r w:rsidRPr="00F72FDB">
        <w:rPr>
          <w:rFonts w:ascii="Times New Roman" w:hAnsi="Times New Roman"/>
          <w:sz w:val="24"/>
          <w:szCs w:val="24"/>
        </w:rPr>
        <w:t>;</w:t>
      </w:r>
    </w:p>
    <w:p w:rsidR="00B45B66" w:rsidRDefault="00B45B66" w:rsidP="00C57A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2FDB">
        <w:rPr>
          <w:rFonts w:ascii="Times New Roman" w:eastAsia="Times New Roman" w:hAnsi="Times New Roman"/>
          <w:b/>
          <w:bCs/>
          <w:sz w:val="24"/>
          <w:szCs w:val="24"/>
        </w:rPr>
        <w:t>Calls on</w:t>
      </w:r>
      <w:r w:rsidRPr="00F72FDB">
        <w:rPr>
          <w:rFonts w:ascii="Times New Roman" w:eastAsia="Times New Roman" w:hAnsi="Times New Roman"/>
          <w:sz w:val="24"/>
          <w:szCs w:val="24"/>
        </w:rPr>
        <w:t xml:space="preserve"> SEECP </w:t>
      </w:r>
      <w:r w:rsidR="00C57AF9">
        <w:rPr>
          <w:rFonts w:ascii="Times New Roman" w:eastAsia="Times New Roman" w:hAnsi="Times New Roman"/>
          <w:sz w:val="24"/>
          <w:szCs w:val="24"/>
        </w:rPr>
        <w:t>P</w:t>
      </w:r>
      <w:r w:rsidR="00512FAF">
        <w:rPr>
          <w:rFonts w:ascii="Times New Roman" w:eastAsia="Times New Roman" w:hAnsi="Times New Roman"/>
          <w:sz w:val="24"/>
          <w:szCs w:val="24"/>
        </w:rPr>
        <w:t>articipants</w:t>
      </w:r>
      <w:r w:rsidRPr="00F72FDB">
        <w:rPr>
          <w:rFonts w:ascii="Times New Roman" w:eastAsia="Times New Roman" w:hAnsi="Times New Roman"/>
          <w:sz w:val="24"/>
          <w:szCs w:val="24"/>
        </w:rPr>
        <w:t xml:space="preserve"> to promote institutional cooperation and enhance administrative capacities in higher education, as well as </w:t>
      </w:r>
      <w:r w:rsidR="00233A74">
        <w:rPr>
          <w:rFonts w:ascii="Times New Roman" w:eastAsia="Times New Roman" w:hAnsi="Times New Roman"/>
          <w:sz w:val="24"/>
          <w:szCs w:val="24"/>
        </w:rPr>
        <w:t xml:space="preserve">adoption of </w:t>
      </w:r>
      <w:r w:rsidRPr="00F72FDB">
        <w:rPr>
          <w:rFonts w:ascii="Times New Roman" w:eastAsia="Times New Roman" w:hAnsi="Times New Roman"/>
          <w:sz w:val="24"/>
          <w:szCs w:val="24"/>
        </w:rPr>
        <w:t xml:space="preserve">common policy measures aimed at improving institutional cooperation;  </w:t>
      </w:r>
    </w:p>
    <w:p w:rsidR="00E67117" w:rsidRPr="00F542C6" w:rsidRDefault="00E67117" w:rsidP="00C57A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42C6">
        <w:rPr>
          <w:rFonts w:ascii="Times New Roman" w:eastAsia="Times New Roman" w:hAnsi="Times New Roman"/>
          <w:b/>
          <w:bCs/>
          <w:sz w:val="24"/>
          <w:szCs w:val="24"/>
        </w:rPr>
        <w:t xml:space="preserve">Invites </w:t>
      </w:r>
      <w:r w:rsidRPr="00F542C6">
        <w:rPr>
          <w:rFonts w:ascii="Times New Roman" w:eastAsia="Times New Roman" w:hAnsi="Times New Roman"/>
          <w:bCs/>
          <w:sz w:val="24"/>
          <w:szCs w:val="24"/>
        </w:rPr>
        <w:t>SEECP Participants to take relevant measures in order to ensure full accessibility for the people with disabilities to higher education;</w:t>
      </w:r>
    </w:p>
    <w:p w:rsidR="00B45B66" w:rsidRPr="00F72FDB" w:rsidRDefault="00B45B66" w:rsidP="00F72FD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2FDB">
        <w:rPr>
          <w:rFonts w:ascii="Times New Roman" w:eastAsia="Times New Roman" w:hAnsi="Times New Roman"/>
          <w:b/>
          <w:bCs/>
          <w:sz w:val="24"/>
          <w:szCs w:val="24"/>
        </w:rPr>
        <w:t>Call for</w:t>
      </w:r>
      <w:r w:rsidRPr="00F72FDB">
        <w:rPr>
          <w:rFonts w:ascii="Times New Roman" w:eastAsia="Times New Roman" w:hAnsi="Times New Roman"/>
          <w:sz w:val="24"/>
          <w:szCs w:val="24"/>
        </w:rPr>
        <w:t xml:space="preserve"> more efficient implementation of </w:t>
      </w:r>
      <w:r w:rsidR="00FA3D99" w:rsidRPr="00F72FDB">
        <w:rPr>
          <w:rFonts w:ascii="Times New Roman" w:eastAsia="Times New Roman" w:hAnsi="Times New Roman"/>
          <w:sz w:val="24"/>
          <w:szCs w:val="24"/>
        </w:rPr>
        <w:t xml:space="preserve">education </w:t>
      </w:r>
      <w:r w:rsidRPr="00F72FDB">
        <w:rPr>
          <w:rFonts w:ascii="Times New Roman" w:eastAsia="Times New Roman" w:hAnsi="Times New Roman"/>
          <w:sz w:val="24"/>
          <w:szCs w:val="24"/>
        </w:rPr>
        <w:t xml:space="preserve">reforms, particularly in the area of </w:t>
      </w:r>
      <w:r w:rsidR="00123654" w:rsidRPr="00F72FDB">
        <w:rPr>
          <w:rFonts w:ascii="Times New Roman" w:eastAsia="Times New Roman" w:hAnsi="Times New Roman"/>
          <w:sz w:val="24"/>
          <w:szCs w:val="24"/>
        </w:rPr>
        <w:t>higher education</w:t>
      </w:r>
      <w:r w:rsidR="00831F2F">
        <w:rPr>
          <w:rFonts w:ascii="Times New Roman" w:eastAsia="Times New Roman" w:hAnsi="Times New Roman"/>
          <w:sz w:val="24"/>
          <w:szCs w:val="24"/>
        </w:rPr>
        <w:t xml:space="preserve"> with a view to comply with the principles laid down by the </w:t>
      </w:r>
      <w:r w:rsidR="00226BB8">
        <w:rPr>
          <w:rFonts w:ascii="Times New Roman" w:eastAsia="Times New Roman" w:hAnsi="Times New Roman"/>
          <w:sz w:val="24"/>
          <w:szCs w:val="24"/>
        </w:rPr>
        <w:t xml:space="preserve">European integration process and the </w:t>
      </w:r>
      <w:r w:rsidR="00831F2F">
        <w:rPr>
          <w:rFonts w:ascii="Times New Roman" w:eastAsia="Times New Roman" w:hAnsi="Times New Roman"/>
          <w:sz w:val="24"/>
          <w:szCs w:val="24"/>
        </w:rPr>
        <w:t>Bologna Process</w:t>
      </w:r>
      <w:r w:rsidRPr="00F72FDB">
        <w:rPr>
          <w:rFonts w:ascii="Times New Roman" w:eastAsia="Times New Roman" w:hAnsi="Times New Roman"/>
          <w:sz w:val="24"/>
          <w:szCs w:val="24"/>
        </w:rPr>
        <w:t>;</w:t>
      </w:r>
    </w:p>
    <w:p w:rsidR="00B45B66" w:rsidRDefault="00B45B66" w:rsidP="002B63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2FDB">
        <w:rPr>
          <w:rFonts w:ascii="Times New Roman" w:hAnsi="Times New Roman"/>
          <w:b/>
          <w:bCs/>
          <w:sz w:val="24"/>
          <w:szCs w:val="24"/>
        </w:rPr>
        <w:t xml:space="preserve">Highlights </w:t>
      </w:r>
      <w:r w:rsidRPr="00F72FDB">
        <w:rPr>
          <w:rFonts w:ascii="Times New Roman" w:hAnsi="Times New Roman"/>
          <w:sz w:val="24"/>
          <w:szCs w:val="24"/>
        </w:rPr>
        <w:t xml:space="preserve">the need to </w:t>
      </w:r>
      <w:r w:rsidR="00FA3D99" w:rsidRPr="00F72FDB">
        <w:rPr>
          <w:rFonts w:ascii="Times New Roman" w:hAnsi="Times New Roman"/>
          <w:sz w:val="24"/>
          <w:szCs w:val="24"/>
        </w:rPr>
        <w:t xml:space="preserve">contribute </w:t>
      </w:r>
      <w:r w:rsidR="002B6383">
        <w:rPr>
          <w:rFonts w:ascii="Times New Roman" w:hAnsi="Times New Roman"/>
          <w:sz w:val="24"/>
          <w:szCs w:val="24"/>
        </w:rPr>
        <w:t>to</w:t>
      </w:r>
      <w:r w:rsidR="00FA3D99" w:rsidRPr="00F72FDB">
        <w:rPr>
          <w:rFonts w:ascii="Times New Roman" w:hAnsi="Times New Roman"/>
          <w:sz w:val="24"/>
          <w:szCs w:val="24"/>
        </w:rPr>
        <w:t xml:space="preserve"> the internatio</w:t>
      </w:r>
      <w:r w:rsidR="00F72FDB">
        <w:rPr>
          <w:rFonts w:ascii="Times New Roman" w:hAnsi="Times New Roman"/>
          <w:sz w:val="24"/>
          <w:szCs w:val="24"/>
        </w:rPr>
        <w:t>na</w:t>
      </w:r>
      <w:r w:rsidR="00FA3D99" w:rsidRPr="00F72FDB">
        <w:rPr>
          <w:rFonts w:ascii="Times New Roman" w:hAnsi="Times New Roman"/>
          <w:sz w:val="24"/>
          <w:szCs w:val="24"/>
        </w:rPr>
        <w:t>lization of higher education by strengthening the existing networks of cooperation among SEECP participants in higher education in line with the Bologna Process</w:t>
      </w:r>
      <w:r w:rsidRPr="00F72FDB">
        <w:rPr>
          <w:rFonts w:ascii="Times New Roman" w:hAnsi="Times New Roman"/>
          <w:sz w:val="24"/>
          <w:szCs w:val="24"/>
        </w:rPr>
        <w:t>;</w:t>
      </w:r>
    </w:p>
    <w:p w:rsidR="00FA3D99" w:rsidRDefault="009421BA" w:rsidP="00B015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sz w:val="24"/>
          <w:szCs w:val="24"/>
          <w:lang w:val="en-US"/>
        </w:rPr>
        <w:t>Calls upon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SEECP Participants to utilize the opportunities </w:t>
      </w:r>
      <w:r w:rsidR="00B0159C">
        <w:rPr>
          <w:rFonts w:ascii="Times New Roman" w:hAnsi="Times New Roman"/>
          <w:sz w:val="24"/>
          <w:szCs w:val="24"/>
          <w:lang w:val="en-US"/>
        </w:rPr>
        <w:t>provided by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EU </w:t>
      </w:r>
      <w:r w:rsidR="00831F2F" w:rsidRPr="00F72FDB">
        <w:rPr>
          <w:rFonts w:ascii="Times New Roman" w:hAnsi="Times New Roman"/>
          <w:sz w:val="24"/>
          <w:szCs w:val="24"/>
          <w:lang w:val="en-US"/>
        </w:rPr>
        <w:t>programs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such as Erasmus + and Horizon2020 more productively with a view to improve strategic partnerships among SEECP Participants</w:t>
      </w:r>
      <w:r w:rsidR="00226BB8">
        <w:rPr>
          <w:rFonts w:ascii="Times New Roman" w:hAnsi="Times New Roman"/>
          <w:sz w:val="24"/>
          <w:szCs w:val="24"/>
          <w:lang w:val="en-US"/>
        </w:rPr>
        <w:t xml:space="preserve"> by increasing mobility among themselves</w:t>
      </w:r>
      <w:r w:rsidR="00C0024E" w:rsidRPr="00F72FDB">
        <w:rPr>
          <w:rFonts w:ascii="Times New Roman" w:hAnsi="Times New Roman"/>
          <w:sz w:val="24"/>
          <w:szCs w:val="24"/>
          <w:lang w:val="en-US"/>
        </w:rPr>
        <w:t>;</w:t>
      </w:r>
    </w:p>
    <w:p w:rsidR="00E67117" w:rsidRPr="00F542C6" w:rsidRDefault="00E67117" w:rsidP="00B0159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542C6">
        <w:rPr>
          <w:rFonts w:ascii="Times New Roman" w:hAnsi="Times New Roman"/>
          <w:b/>
          <w:sz w:val="24"/>
          <w:szCs w:val="24"/>
          <w:lang w:val="en-US"/>
        </w:rPr>
        <w:t xml:space="preserve">Encourages </w:t>
      </w:r>
      <w:r w:rsidRPr="00F542C6">
        <w:rPr>
          <w:rFonts w:ascii="Times New Roman" w:hAnsi="Times New Roman"/>
          <w:sz w:val="24"/>
          <w:szCs w:val="24"/>
          <w:lang w:val="en-US"/>
        </w:rPr>
        <w:t>cooperation among National Agencies and National Erasmus Offices of SEECP Participants with a view to enhance the effectiveness of Erasmus+ programs;</w:t>
      </w:r>
    </w:p>
    <w:p w:rsidR="00403786" w:rsidRPr="00F72FDB" w:rsidRDefault="00403786" w:rsidP="004466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sz w:val="24"/>
          <w:szCs w:val="24"/>
          <w:lang w:val="en-US"/>
        </w:rPr>
        <w:t>Urges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SEECP Participants to </w:t>
      </w:r>
      <w:r w:rsidR="00171AA9" w:rsidRPr="00F72FDB">
        <w:rPr>
          <w:rFonts w:ascii="Times New Roman" w:hAnsi="Times New Roman"/>
          <w:sz w:val="24"/>
          <w:szCs w:val="24"/>
          <w:lang w:val="en-US"/>
        </w:rPr>
        <w:t xml:space="preserve">contribute more actively </w:t>
      </w:r>
      <w:r w:rsidR="004466F1">
        <w:rPr>
          <w:rFonts w:ascii="Times New Roman" w:hAnsi="Times New Roman"/>
          <w:sz w:val="24"/>
          <w:szCs w:val="24"/>
          <w:lang w:val="en-US"/>
        </w:rPr>
        <w:t>to</w:t>
      </w:r>
      <w:r w:rsidR="00171AA9" w:rsidRPr="00F72FDB">
        <w:rPr>
          <w:rFonts w:ascii="Times New Roman" w:hAnsi="Times New Roman"/>
          <w:sz w:val="24"/>
          <w:szCs w:val="24"/>
          <w:lang w:val="en-US"/>
        </w:rPr>
        <w:t xml:space="preserve"> the modernization of higher education by means of </w:t>
      </w:r>
      <w:r w:rsidR="00226BB8">
        <w:rPr>
          <w:rFonts w:ascii="Times New Roman" w:hAnsi="Times New Roman"/>
          <w:sz w:val="24"/>
          <w:szCs w:val="24"/>
          <w:lang w:val="en-US"/>
        </w:rPr>
        <w:t xml:space="preserve">the adoption of </w:t>
      </w:r>
      <w:r w:rsidR="00171AA9" w:rsidRPr="00F72FDB">
        <w:rPr>
          <w:rFonts w:ascii="Times New Roman" w:hAnsi="Times New Roman"/>
          <w:sz w:val="24"/>
          <w:szCs w:val="24"/>
          <w:lang w:val="en-US"/>
        </w:rPr>
        <w:t xml:space="preserve">innovative approaches such as digitalization, </w:t>
      </w:r>
      <w:r w:rsidR="00831F2F" w:rsidRPr="00F72FDB">
        <w:rPr>
          <w:rFonts w:ascii="Times New Roman" w:hAnsi="Times New Roman"/>
          <w:sz w:val="24"/>
          <w:szCs w:val="24"/>
          <w:lang w:val="en-US"/>
        </w:rPr>
        <w:t>formation of joint degree and programs</w:t>
      </w:r>
      <w:r w:rsidR="00831F2F">
        <w:rPr>
          <w:rFonts w:ascii="Times New Roman" w:hAnsi="Times New Roman"/>
          <w:sz w:val="24"/>
          <w:szCs w:val="24"/>
          <w:lang w:val="en-US"/>
        </w:rPr>
        <w:t>,</w:t>
      </w:r>
      <w:r w:rsidR="00171AA9" w:rsidRPr="00F72FDB">
        <w:rPr>
          <w:rFonts w:ascii="Times New Roman" w:hAnsi="Times New Roman"/>
          <w:sz w:val="24"/>
          <w:szCs w:val="24"/>
          <w:lang w:val="en-US"/>
        </w:rPr>
        <w:t>project based internatio</w:t>
      </w:r>
      <w:r w:rsidR="00F72FDB">
        <w:rPr>
          <w:rFonts w:ascii="Times New Roman" w:hAnsi="Times New Roman"/>
          <w:sz w:val="24"/>
          <w:szCs w:val="24"/>
          <w:lang w:val="en-US"/>
        </w:rPr>
        <w:t>na</w:t>
      </w:r>
      <w:r w:rsidR="00171AA9" w:rsidRPr="00F72FDB">
        <w:rPr>
          <w:rFonts w:ascii="Times New Roman" w:hAnsi="Times New Roman"/>
          <w:sz w:val="24"/>
          <w:szCs w:val="24"/>
          <w:lang w:val="en-US"/>
        </w:rPr>
        <w:t xml:space="preserve">lization </w:t>
      </w:r>
      <w:r w:rsidR="00E046A3" w:rsidRPr="00F72FDB">
        <w:rPr>
          <w:rFonts w:ascii="Times New Roman" w:hAnsi="Times New Roman"/>
          <w:sz w:val="24"/>
          <w:szCs w:val="24"/>
          <w:lang w:val="en-US"/>
        </w:rPr>
        <w:t xml:space="preserve">and internationalization </w:t>
      </w:r>
      <w:r w:rsidR="00831F2F">
        <w:rPr>
          <w:rFonts w:ascii="Times New Roman" w:hAnsi="Times New Roman"/>
          <w:sz w:val="24"/>
          <w:szCs w:val="24"/>
          <w:lang w:val="en-US"/>
        </w:rPr>
        <w:t xml:space="preserve">and exchange </w:t>
      </w:r>
      <w:r w:rsidR="00E046A3" w:rsidRPr="00F72FDB">
        <w:rPr>
          <w:rFonts w:ascii="Times New Roman" w:hAnsi="Times New Roman"/>
          <w:sz w:val="24"/>
          <w:szCs w:val="24"/>
          <w:lang w:val="en-US"/>
        </w:rPr>
        <w:t>of university curricula</w:t>
      </w:r>
      <w:r w:rsidRPr="00F72FDB">
        <w:rPr>
          <w:rFonts w:ascii="Times New Roman" w:hAnsi="Times New Roman"/>
          <w:sz w:val="24"/>
          <w:szCs w:val="24"/>
          <w:lang w:val="en-US"/>
        </w:rPr>
        <w:t>;</w:t>
      </w:r>
    </w:p>
    <w:p w:rsidR="00403786" w:rsidRDefault="00403786" w:rsidP="0003303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2FDB">
        <w:rPr>
          <w:rFonts w:ascii="Times New Roman" w:hAnsi="Times New Roman"/>
          <w:b/>
          <w:sz w:val="24"/>
          <w:szCs w:val="24"/>
          <w:lang w:val="en-US"/>
        </w:rPr>
        <w:t>Calls upon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SEECP Participants to </w:t>
      </w:r>
      <w:r w:rsidR="00F40740">
        <w:rPr>
          <w:rFonts w:ascii="Times New Roman" w:hAnsi="Times New Roman"/>
          <w:sz w:val="24"/>
          <w:szCs w:val="24"/>
          <w:lang w:val="en-US"/>
        </w:rPr>
        <w:t xml:space="preserve">increase their efforts </w:t>
      </w:r>
      <w:r w:rsidR="00033034">
        <w:rPr>
          <w:rFonts w:ascii="Times New Roman" w:hAnsi="Times New Roman"/>
          <w:sz w:val="24"/>
          <w:szCs w:val="24"/>
          <w:lang w:val="en-US"/>
        </w:rPr>
        <w:t>for ensuring</w:t>
      </w:r>
      <w:r w:rsidR="00F40740">
        <w:rPr>
          <w:rFonts w:ascii="Times New Roman" w:hAnsi="Times New Roman"/>
          <w:sz w:val="24"/>
          <w:szCs w:val="24"/>
          <w:lang w:val="en-US"/>
        </w:rPr>
        <w:t xml:space="preserve"> the recognition of professional qualifications in line with the Bologna Process</w:t>
      </w:r>
      <w:r w:rsidR="00831F2F">
        <w:rPr>
          <w:rFonts w:ascii="Times New Roman" w:hAnsi="Times New Roman"/>
          <w:sz w:val="24"/>
          <w:szCs w:val="24"/>
          <w:lang w:val="en-US"/>
        </w:rPr>
        <w:t>;</w:t>
      </w:r>
    </w:p>
    <w:p w:rsidR="002D502B" w:rsidRPr="00F542C6" w:rsidRDefault="00403786" w:rsidP="00636C1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A4742">
        <w:rPr>
          <w:rFonts w:ascii="Times New Roman" w:hAnsi="Times New Roman"/>
          <w:b/>
          <w:sz w:val="24"/>
          <w:szCs w:val="24"/>
          <w:lang w:val="en-US"/>
        </w:rPr>
        <w:t>Recommends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to SEECP Participants to </w:t>
      </w:r>
      <w:r w:rsidR="00831F2F">
        <w:rPr>
          <w:rFonts w:ascii="Times New Roman" w:hAnsi="Times New Roman"/>
          <w:sz w:val="24"/>
          <w:szCs w:val="24"/>
          <w:lang w:val="en-US"/>
        </w:rPr>
        <w:t>adopt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measures aim</w:t>
      </w:r>
      <w:r w:rsidR="00636C1D">
        <w:rPr>
          <w:rFonts w:ascii="Times New Roman" w:hAnsi="Times New Roman"/>
          <w:sz w:val="24"/>
          <w:szCs w:val="24"/>
          <w:lang w:val="en-US"/>
        </w:rPr>
        <w:t>ed</w:t>
      </w:r>
      <w:r w:rsidRPr="00F72FDB">
        <w:rPr>
          <w:rFonts w:ascii="Times New Roman" w:hAnsi="Times New Roman"/>
          <w:sz w:val="24"/>
          <w:szCs w:val="24"/>
          <w:lang w:val="en-US"/>
        </w:rPr>
        <w:t xml:space="preserve"> at </w:t>
      </w:r>
      <w:r w:rsidR="00636C1D">
        <w:rPr>
          <w:rFonts w:ascii="Times New Roman" w:hAnsi="Times New Roman"/>
          <w:sz w:val="24"/>
          <w:szCs w:val="24"/>
          <w:lang w:val="en-US"/>
        </w:rPr>
        <w:t>facilitating t</w:t>
      </w:r>
      <w:r w:rsidR="005C033B">
        <w:rPr>
          <w:rFonts w:ascii="Times New Roman" w:hAnsi="Times New Roman"/>
          <w:sz w:val="24"/>
          <w:szCs w:val="24"/>
          <w:lang w:val="en-US"/>
        </w:rPr>
        <w:t xml:space="preserve">he mutual recognition of diplomas and qualifications through intensification of efforts for the </w:t>
      </w:r>
      <w:r w:rsidR="00C944A4">
        <w:rPr>
          <w:rFonts w:ascii="Times New Roman" w:hAnsi="Times New Roman"/>
          <w:sz w:val="24"/>
          <w:szCs w:val="24"/>
          <w:lang w:val="en-US"/>
        </w:rPr>
        <w:t xml:space="preserve">negotiation and </w:t>
      </w:r>
      <w:r w:rsidR="005C033B">
        <w:rPr>
          <w:rFonts w:ascii="Times New Roman" w:hAnsi="Times New Roman"/>
          <w:sz w:val="24"/>
          <w:szCs w:val="24"/>
          <w:lang w:val="en-US"/>
        </w:rPr>
        <w:t>finalization of agreements</w:t>
      </w:r>
      <w:r w:rsidR="0001280A" w:rsidRPr="00F542C6">
        <w:rPr>
          <w:rFonts w:ascii="Times New Roman" w:hAnsi="Times New Roman"/>
          <w:sz w:val="24"/>
          <w:szCs w:val="24"/>
          <w:lang w:val="en-US"/>
        </w:rPr>
        <w:t xml:space="preserve">in all levels </w:t>
      </w:r>
      <w:r w:rsidR="004F4851" w:rsidRPr="00F542C6">
        <w:rPr>
          <w:rFonts w:ascii="Times New Roman" w:hAnsi="Times New Roman"/>
          <w:sz w:val="24"/>
          <w:szCs w:val="24"/>
          <w:lang w:val="en-US"/>
        </w:rPr>
        <w:t>and in all forms</w:t>
      </w:r>
      <w:r w:rsidR="00233A74">
        <w:rPr>
          <w:rFonts w:ascii="Times New Roman" w:hAnsi="Times New Roman"/>
          <w:sz w:val="24"/>
          <w:szCs w:val="24"/>
          <w:lang w:val="en-US"/>
        </w:rPr>
        <w:t>.</w:t>
      </w:r>
    </w:p>
    <w:p w:rsidR="00F542C6" w:rsidRPr="00F542C6" w:rsidRDefault="00F542C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542C6" w:rsidRPr="00F542C6" w:rsidSect="00F542C6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75" w:rsidRDefault="004F2875" w:rsidP="001B359C">
      <w:pPr>
        <w:spacing w:after="0" w:line="240" w:lineRule="auto"/>
      </w:pPr>
      <w:r>
        <w:separator/>
      </w:r>
    </w:p>
  </w:endnote>
  <w:endnote w:type="continuationSeparator" w:id="1">
    <w:p w:rsidR="004F2875" w:rsidRDefault="004F2875" w:rsidP="001B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75" w:rsidRDefault="004F2875" w:rsidP="001B359C">
      <w:pPr>
        <w:spacing w:after="0" w:line="240" w:lineRule="auto"/>
      </w:pPr>
      <w:r>
        <w:separator/>
      </w:r>
    </w:p>
  </w:footnote>
  <w:footnote w:type="continuationSeparator" w:id="1">
    <w:p w:rsidR="004F2875" w:rsidRDefault="004F2875" w:rsidP="001B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6C0"/>
    <w:multiLevelType w:val="hybridMultilevel"/>
    <w:tmpl w:val="D6FE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7A1"/>
    <w:rsid w:val="0001280A"/>
    <w:rsid w:val="00020418"/>
    <w:rsid w:val="00031A76"/>
    <w:rsid w:val="00033034"/>
    <w:rsid w:val="00033678"/>
    <w:rsid w:val="000438CC"/>
    <w:rsid w:val="00093025"/>
    <w:rsid w:val="00096035"/>
    <w:rsid w:val="000B355D"/>
    <w:rsid w:val="00123654"/>
    <w:rsid w:val="00130448"/>
    <w:rsid w:val="00153FCC"/>
    <w:rsid w:val="00171AA9"/>
    <w:rsid w:val="001B359C"/>
    <w:rsid w:val="00200FF9"/>
    <w:rsid w:val="00226BB8"/>
    <w:rsid w:val="00233A74"/>
    <w:rsid w:val="002A6169"/>
    <w:rsid w:val="002B6383"/>
    <w:rsid w:val="002D07A8"/>
    <w:rsid w:val="002D502B"/>
    <w:rsid w:val="002D6006"/>
    <w:rsid w:val="003058FC"/>
    <w:rsid w:val="00403786"/>
    <w:rsid w:val="00416F12"/>
    <w:rsid w:val="00423ACD"/>
    <w:rsid w:val="00426324"/>
    <w:rsid w:val="004466F1"/>
    <w:rsid w:val="004561CC"/>
    <w:rsid w:val="004F2875"/>
    <w:rsid w:val="004F4851"/>
    <w:rsid w:val="00512FAF"/>
    <w:rsid w:val="00563AA5"/>
    <w:rsid w:val="005C033B"/>
    <w:rsid w:val="005C7B60"/>
    <w:rsid w:val="005D3EA8"/>
    <w:rsid w:val="005D53BB"/>
    <w:rsid w:val="005E60EA"/>
    <w:rsid w:val="00636C1D"/>
    <w:rsid w:val="00674414"/>
    <w:rsid w:val="0067788E"/>
    <w:rsid w:val="006902F9"/>
    <w:rsid w:val="006D7342"/>
    <w:rsid w:val="0070630D"/>
    <w:rsid w:val="007227A1"/>
    <w:rsid w:val="007577EF"/>
    <w:rsid w:val="007638F8"/>
    <w:rsid w:val="0077156B"/>
    <w:rsid w:val="00783E63"/>
    <w:rsid w:val="007B6DDE"/>
    <w:rsid w:val="007D07AF"/>
    <w:rsid w:val="00806FF6"/>
    <w:rsid w:val="00812F29"/>
    <w:rsid w:val="00831F2F"/>
    <w:rsid w:val="00896BDE"/>
    <w:rsid w:val="008E131B"/>
    <w:rsid w:val="008E5105"/>
    <w:rsid w:val="00916663"/>
    <w:rsid w:val="009421BA"/>
    <w:rsid w:val="009A19E7"/>
    <w:rsid w:val="009A65ED"/>
    <w:rsid w:val="00A77832"/>
    <w:rsid w:val="00AA4742"/>
    <w:rsid w:val="00AE5EA6"/>
    <w:rsid w:val="00B00B7C"/>
    <w:rsid w:val="00B0159C"/>
    <w:rsid w:val="00B45B66"/>
    <w:rsid w:val="00BA096D"/>
    <w:rsid w:val="00BA3B6C"/>
    <w:rsid w:val="00BE0E86"/>
    <w:rsid w:val="00BE280C"/>
    <w:rsid w:val="00C0024E"/>
    <w:rsid w:val="00C4786D"/>
    <w:rsid w:val="00C57AF9"/>
    <w:rsid w:val="00C944A4"/>
    <w:rsid w:val="00C95E53"/>
    <w:rsid w:val="00CD4468"/>
    <w:rsid w:val="00CF65D3"/>
    <w:rsid w:val="00D359BB"/>
    <w:rsid w:val="00E046A3"/>
    <w:rsid w:val="00E67117"/>
    <w:rsid w:val="00EC67BC"/>
    <w:rsid w:val="00F40740"/>
    <w:rsid w:val="00F542C6"/>
    <w:rsid w:val="00F72FDB"/>
    <w:rsid w:val="00FA3D99"/>
    <w:rsid w:val="00FA7E7C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86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12F29"/>
    <w:pPr>
      <w:spacing w:after="0" w:line="240" w:lineRule="auto"/>
    </w:pPr>
    <w:rPr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F29"/>
    <w:rPr>
      <w:rFonts w:ascii="Calibri" w:hAnsi="Calibri"/>
      <w:szCs w:val="21"/>
    </w:rPr>
  </w:style>
  <w:style w:type="paragraph" w:styleId="ListParagraph">
    <w:name w:val="List Paragraph"/>
    <w:aliases w:val="List Paragraph (numbered (a)),Lapis Bulleted List,List Paragraph1"/>
    <w:basedOn w:val="Normal"/>
    <w:link w:val="ListParagraphChar"/>
    <w:uiPriority w:val="34"/>
    <w:qFormat/>
    <w:rsid w:val="00403786"/>
    <w:pPr>
      <w:ind w:left="720"/>
      <w:contextualSpacing/>
    </w:pPr>
    <w:rPr>
      <w:sz w:val="20"/>
      <w:szCs w:val="20"/>
      <w:lang/>
    </w:rPr>
  </w:style>
  <w:style w:type="character" w:customStyle="1" w:styleId="ListParagraphChar">
    <w:name w:val="List Paragraph Char"/>
    <w:aliases w:val="List Paragraph (numbered (a)) Char,Lapis Bulleted List Char,List Paragraph1 Char"/>
    <w:link w:val="ListParagraph"/>
    <w:uiPriority w:val="34"/>
    <w:locked/>
    <w:rsid w:val="00403786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st">
    <w:name w:val="st"/>
    <w:rsid w:val="00403786"/>
    <w:rPr>
      <w:rFonts w:cs="Times New Roman"/>
    </w:rPr>
  </w:style>
  <w:style w:type="paragraph" w:styleId="NormalWeb">
    <w:name w:val="Normal (Web)"/>
    <w:basedOn w:val="Normal"/>
    <w:rsid w:val="00B45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qFormat/>
    <w:rsid w:val="00B45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86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41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18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9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9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7F76-40B9-497E-9F0D-275AA01E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 Goli</dc:creator>
  <cp:lastModifiedBy>Ljupka</cp:lastModifiedBy>
  <cp:revision>2</cp:revision>
  <cp:lastPrinted>2017-04-20T12:29:00Z</cp:lastPrinted>
  <dcterms:created xsi:type="dcterms:W3CDTF">2017-06-11T18:48:00Z</dcterms:created>
  <dcterms:modified xsi:type="dcterms:W3CDTF">2017-06-11T18:48:00Z</dcterms:modified>
</cp:coreProperties>
</file>